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C2F6" w14:textId="77777777" w:rsidR="000949AE" w:rsidRDefault="000949AE" w:rsidP="004C6BD2">
      <w:pPr>
        <w:ind w:left="142"/>
        <w:rPr>
          <w:rFonts w:ascii="Arial" w:hAnsi="Arial" w:cs="Arial"/>
          <w:b/>
          <w:sz w:val="22"/>
          <w:szCs w:val="22"/>
        </w:rPr>
      </w:pPr>
    </w:p>
    <w:p w14:paraId="184DB6FF" w14:textId="5D859E3C"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</w:t>
      </w:r>
      <w:r w:rsidR="00336C67" w:rsidRPr="00336C67">
        <w:rPr>
          <w:rFonts w:ascii="Arial" w:hAnsi="Arial" w:cs="Arial"/>
          <w:b/>
          <w:sz w:val="22"/>
          <w:szCs w:val="22"/>
        </w:rPr>
        <w:t>066/</w:t>
      </w:r>
      <w:r w:rsidR="00462B7B">
        <w:rPr>
          <w:rFonts w:ascii="Arial" w:hAnsi="Arial" w:cs="Arial"/>
          <w:b/>
          <w:sz w:val="22"/>
          <w:szCs w:val="22"/>
        </w:rPr>
        <w:t>04</w:t>
      </w:r>
      <w:r w:rsidR="00336C67" w:rsidRPr="00336C67">
        <w:rPr>
          <w:rFonts w:ascii="Arial" w:hAnsi="Arial" w:cs="Arial"/>
          <w:b/>
          <w:sz w:val="22"/>
          <w:szCs w:val="22"/>
        </w:rPr>
        <w:t>/2022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 xml:space="preserve">Załącznik nr 2 do </w:t>
      </w:r>
      <w:r w:rsidR="00C75D3D">
        <w:rPr>
          <w:rFonts w:ascii="Arial" w:hAnsi="Arial" w:cs="Arial"/>
          <w:b/>
          <w:sz w:val="22"/>
          <w:szCs w:val="22"/>
        </w:rPr>
        <w:t>Ogłoszenia</w:t>
      </w:r>
    </w:p>
    <w:p w14:paraId="7872215C" w14:textId="77777777" w:rsidR="00C138D1" w:rsidRDefault="00C138D1" w:rsidP="00C138D1"/>
    <w:p w14:paraId="4D76C6A0" w14:textId="77777777" w:rsidR="00DE54C7" w:rsidRDefault="00DE54C7" w:rsidP="00C138D1"/>
    <w:p w14:paraId="448D4959" w14:textId="77777777" w:rsidR="000949AE" w:rsidRDefault="000949AE" w:rsidP="002A0EDD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0AEB9DF" w14:textId="7B43A92E" w:rsidR="005849C7" w:rsidRDefault="005849C7" w:rsidP="002A0EDD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r w:rsidR="000949AE">
        <w:rPr>
          <w:rFonts w:ascii="Arial" w:hAnsi="Arial" w:cs="Arial"/>
          <w:b/>
          <w:sz w:val="22"/>
          <w:szCs w:val="22"/>
        </w:rPr>
        <w:t>dostawę zamrażarki niskotemperaturowej</w:t>
      </w:r>
      <w:r w:rsidR="00336C67" w:rsidRPr="00336C67">
        <w:rPr>
          <w:rFonts w:ascii="Arial" w:hAnsi="Arial" w:cs="Arial"/>
          <w:b/>
          <w:sz w:val="22"/>
          <w:szCs w:val="22"/>
        </w:rPr>
        <w:t xml:space="preserve"> do Instytutu Genetyki Roślin Polskiej Akademii Nauk</w:t>
      </w:r>
      <w:r w:rsidR="00C81183">
        <w:rPr>
          <w:rFonts w:ascii="Arial" w:hAnsi="Arial" w:cs="Arial"/>
          <w:b/>
          <w:bCs/>
          <w:sz w:val="22"/>
          <w:szCs w:val="22"/>
        </w:rPr>
        <w:t>:</w:t>
      </w:r>
    </w:p>
    <w:p w14:paraId="6DBE3F59" w14:textId="77777777" w:rsidR="000949AE" w:rsidRDefault="000949AE" w:rsidP="002A0EDD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2A1D805F" w14:textId="77777777" w:rsidR="005849C7" w:rsidRPr="002A0EDD" w:rsidRDefault="005849C7">
      <w:pPr>
        <w:rPr>
          <w:rFonts w:ascii="Arial" w:hAnsi="Arial" w:cs="Arial"/>
          <w:sz w:val="8"/>
          <w:szCs w:val="8"/>
        </w:rPr>
      </w:pPr>
    </w:p>
    <w:tbl>
      <w:tblPr>
        <w:tblStyle w:val="Styl1"/>
        <w:tblW w:w="14767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  <w:gridCol w:w="6245"/>
      </w:tblGrid>
      <w:tr w:rsidR="00C134D5" w:rsidRPr="00A50A71" w14:paraId="3754B0C7" w14:textId="77777777" w:rsidTr="000949AE">
        <w:trPr>
          <w:trHeight w:val="567"/>
          <w:jc w:val="center"/>
        </w:trPr>
        <w:tc>
          <w:tcPr>
            <w:tcW w:w="8462" w:type="dxa"/>
            <w:vAlign w:val="center"/>
          </w:tcPr>
          <w:p w14:paraId="48D2869E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4F832786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14:paraId="75902E7F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14:paraId="25324E83" w14:textId="77777777" w:rsidTr="000949AE">
        <w:trPr>
          <w:trHeight w:val="567"/>
          <w:jc w:val="center"/>
        </w:trPr>
        <w:tc>
          <w:tcPr>
            <w:tcW w:w="8462" w:type="dxa"/>
          </w:tcPr>
          <w:p w14:paraId="27D226B4" w14:textId="6FB20514" w:rsidR="00C134D5" w:rsidRPr="000949AE" w:rsidRDefault="000949AE" w:rsidP="00094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Zakres ustawienia temperatury od -86 do -50 °C</w:t>
            </w:r>
          </w:p>
        </w:tc>
        <w:tc>
          <w:tcPr>
            <w:tcW w:w="6185" w:type="dxa"/>
          </w:tcPr>
          <w:p w14:paraId="44239C5C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3552FDE2" w14:textId="77777777" w:rsidTr="000949AE">
        <w:trPr>
          <w:trHeight w:val="567"/>
          <w:jc w:val="center"/>
        </w:trPr>
        <w:tc>
          <w:tcPr>
            <w:tcW w:w="8462" w:type="dxa"/>
          </w:tcPr>
          <w:p w14:paraId="15FAD04F" w14:textId="723DC2C0" w:rsidR="00C134D5" w:rsidRPr="000949AE" w:rsidRDefault="000949AE" w:rsidP="0078306B">
            <w:pPr>
              <w:rPr>
                <w:snapToGrid w:val="0"/>
                <w:sz w:val="24"/>
                <w:szCs w:val="24"/>
                <w:lang w:eastAsia="en-US"/>
              </w:rPr>
            </w:pPr>
            <w:r w:rsidRPr="000949AE">
              <w:rPr>
                <w:bCs/>
                <w:sz w:val="24"/>
                <w:szCs w:val="24"/>
              </w:rPr>
              <w:t>Pojemność (bez zamontowanych półek) w zakresie od 720 do 750 litrów</w:t>
            </w:r>
          </w:p>
        </w:tc>
        <w:tc>
          <w:tcPr>
            <w:tcW w:w="6185" w:type="dxa"/>
          </w:tcPr>
          <w:p w14:paraId="52161C92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14:paraId="7122B43E" w14:textId="77777777" w:rsidTr="000949AE">
        <w:trPr>
          <w:trHeight w:val="567"/>
          <w:jc w:val="center"/>
        </w:trPr>
        <w:tc>
          <w:tcPr>
            <w:tcW w:w="8462" w:type="dxa"/>
          </w:tcPr>
          <w:p w14:paraId="4BE28FB5" w14:textId="334E4823" w:rsidR="004F77F8" w:rsidRPr="000949AE" w:rsidRDefault="000949AE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 xml:space="preserve">Poziom hałasu podczas pracy urządzenia max. 50 </w:t>
            </w:r>
            <w:proofErr w:type="spellStart"/>
            <w:r w:rsidRPr="000949AE">
              <w:rPr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185" w:type="dxa"/>
          </w:tcPr>
          <w:p w14:paraId="4DAFECF8" w14:textId="77777777"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154F9361" w14:textId="77777777" w:rsidTr="000949AE">
        <w:trPr>
          <w:trHeight w:val="567"/>
          <w:jc w:val="center"/>
        </w:trPr>
        <w:tc>
          <w:tcPr>
            <w:tcW w:w="8462" w:type="dxa"/>
          </w:tcPr>
          <w:p w14:paraId="5B6999AB" w14:textId="7DDAC1DE" w:rsidR="00C134D5" w:rsidRPr="000949AE" w:rsidRDefault="000949AE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49AE">
              <w:rPr>
                <w:bCs/>
                <w:sz w:val="24"/>
                <w:szCs w:val="24"/>
              </w:rPr>
              <w:t>Dopuszczalne czynniki chłodnicze: R-170 i R-290</w:t>
            </w:r>
          </w:p>
        </w:tc>
        <w:tc>
          <w:tcPr>
            <w:tcW w:w="6185" w:type="dxa"/>
          </w:tcPr>
          <w:p w14:paraId="7D392BBB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087E6103" w14:textId="77777777" w:rsidTr="000949AE">
        <w:trPr>
          <w:trHeight w:val="567"/>
          <w:jc w:val="center"/>
        </w:trPr>
        <w:tc>
          <w:tcPr>
            <w:tcW w:w="8462" w:type="dxa"/>
          </w:tcPr>
          <w:p w14:paraId="28D5C030" w14:textId="7DACF876" w:rsidR="00C134D5" w:rsidRPr="000949AE" w:rsidRDefault="000949AE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0949AE">
              <w:rPr>
                <w:sz w:val="24"/>
                <w:szCs w:val="24"/>
              </w:rPr>
              <w:t>Chłodzenie obiegu chłodzącego powietrzem</w:t>
            </w:r>
          </w:p>
        </w:tc>
        <w:tc>
          <w:tcPr>
            <w:tcW w:w="6185" w:type="dxa"/>
          </w:tcPr>
          <w:p w14:paraId="2B3AC403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14:paraId="448C39F2" w14:textId="77777777" w:rsidTr="000949AE">
        <w:trPr>
          <w:trHeight w:val="567"/>
          <w:jc w:val="center"/>
        </w:trPr>
        <w:tc>
          <w:tcPr>
            <w:tcW w:w="8462" w:type="dxa"/>
          </w:tcPr>
          <w:p w14:paraId="735C7339" w14:textId="1F00F6D4" w:rsidR="00C134D5" w:rsidRPr="000949AE" w:rsidRDefault="000949AE" w:rsidP="000949AE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0949AE">
              <w:rPr>
                <w:bCs/>
                <w:sz w:val="24"/>
                <w:szCs w:val="24"/>
              </w:rPr>
              <w:t>Możliwość podłączenia systemu backup chłodzenia LN</w:t>
            </w:r>
            <w:r w:rsidRPr="000949AE">
              <w:rPr>
                <w:bCs/>
                <w:sz w:val="24"/>
                <w:szCs w:val="24"/>
                <w:vertAlign w:val="subscript"/>
              </w:rPr>
              <w:t>2</w:t>
            </w:r>
            <w:r w:rsidRPr="000949AE">
              <w:rPr>
                <w:bCs/>
                <w:sz w:val="24"/>
                <w:szCs w:val="24"/>
              </w:rPr>
              <w:t xml:space="preserve"> lub CO</w:t>
            </w:r>
            <w:r w:rsidRPr="000949AE">
              <w:rPr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85" w:type="dxa"/>
          </w:tcPr>
          <w:p w14:paraId="3CBD4852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1F598DE5" w14:textId="77777777" w:rsidTr="000949AE">
        <w:trPr>
          <w:trHeight w:val="567"/>
          <w:jc w:val="center"/>
        </w:trPr>
        <w:tc>
          <w:tcPr>
            <w:tcW w:w="8462" w:type="dxa"/>
          </w:tcPr>
          <w:p w14:paraId="5297CFAE" w14:textId="2EA0DF27" w:rsidR="00C134D5" w:rsidRPr="000949AE" w:rsidRDefault="000949AE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49AE">
              <w:rPr>
                <w:bCs/>
                <w:sz w:val="24"/>
                <w:szCs w:val="24"/>
              </w:rPr>
              <w:t>System wyrównywania ciśnienia uruchamiany automatycznie po zamknięciu drzwi, a także manualnie w razie potrzeby</w:t>
            </w:r>
          </w:p>
        </w:tc>
        <w:tc>
          <w:tcPr>
            <w:tcW w:w="6185" w:type="dxa"/>
          </w:tcPr>
          <w:p w14:paraId="25072D17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14:paraId="7A7D1683" w14:textId="77777777" w:rsidTr="000949AE">
        <w:trPr>
          <w:trHeight w:val="567"/>
          <w:jc w:val="center"/>
        </w:trPr>
        <w:tc>
          <w:tcPr>
            <w:tcW w:w="8462" w:type="dxa"/>
          </w:tcPr>
          <w:p w14:paraId="49A5490E" w14:textId="2F73F071" w:rsidR="009C7798" w:rsidRPr="000949AE" w:rsidRDefault="000949AE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0949AE">
              <w:rPr>
                <w:sz w:val="24"/>
                <w:szCs w:val="24"/>
              </w:rPr>
              <w:t>Możliwość zamknięcia drzwi zewnętrznych na klucz</w:t>
            </w:r>
            <w:r w:rsidR="00462B7B">
              <w:rPr>
                <w:sz w:val="24"/>
                <w:szCs w:val="24"/>
              </w:rPr>
              <w:t xml:space="preserve"> (</w:t>
            </w:r>
            <w:r w:rsidR="00861594">
              <w:rPr>
                <w:sz w:val="24"/>
                <w:szCs w:val="24"/>
              </w:rPr>
              <w:t xml:space="preserve">co najmniej </w:t>
            </w:r>
            <w:r w:rsidR="00462B7B">
              <w:rPr>
                <w:sz w:val="24"/>
                <w:szCs w:val="24"/>
              </w:rPr>
              <w:t xml:space="preserve">4 </w:t>
            </w:r>
            <w:r w:rsidR="00861594">
              <w:rPr>
                <w:sz w:val="24"/>
                <w:szCs w:val="24"/>
              </w:rPr>
              <w:t>komplety kluczy w zestawie)</w:t>
            </w:r>
          </w:p>
        </w:tc>
        <w:tc>
          <w:tcPr>
            <w:tcW w:w="6185" w:type="dxa"/>
          </w:tcPr>
          <w:p w14:paraId="64F08722" w14:textId="77777777"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36915A18" w14:textId="77777777" w:rsidTr="000949AE">
        <w:trPr>
          <w:trHeight w:val="567"/>
          <w:jc w:val="center"/>
        </w:trPr>
        <w:tc>
          <w:tcPr>
            <w:tcW w:w="8462" w:type="dxa"/>
          </w:tcPr>
          <w:p w14:paraId="2BD5A6C3" w14:textId="34E61925" w:rsidR="00EA3CF9" w:rsidRPr="000949AE" w:rsidRDefault="000949AE" w:rsidP="006F4434">
            <w:pPr>
              <w:rPr>
                <w:sz w:val="24"/>
                <w:szCs w:val="24"/>
              </w:rPr>
            </w:pPr>
            <w:r w:rsidRPr="000949AE">
              <w:rPr>
                <w:color w:val="000000"/>
                <w:sz w:val="24"/>
                <w:szCs w:val="24"/>
              </w:rPr>
              <w:t>3 drzwi wewnętrzne, które można otwierać niezależnie od siebie</w:t>
            </w:r>
          </w:p>
        </w:tc>
        <w:tc>
          <w:tcPr>
            <w:tcW w:w="6185" w:type="dxa"/>
          </w:tcPr>
          <w:p w14:paraId="3E6B5464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6F4434" w:rsidRPr="00A50A71" w14:paraId="479A463D" w14:textId="77777777" w:rsidTr="000949AE">
        <w:trPr>
          <w:trHeight w:val="567"/>
          <w:jc w:val="center"/>
        </w:trPr>
        <w:tc>
          <w:tcPr>
            <w:tcW w:w="8462" w:type="dxa"/>
          </w:tcPr>
          <w:p w14:paraId="05691B8B" w14:textId="77777777" w:rsidR="000949AE" w:rsidRPr="000949AE" w:rsidRDefault="000949AE" w:rsidP="000949AE">
            <w:pPr>
              <w:spacing w:line="276" w:lineRule="auto"/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lastRenderedPageBreak/>
              <w:t>Alarmy w postaci sygnalizacji na panelu: niskie napięcie akumulatora,</w:t>
            </w:r>
          </w:p>
          <w:p w14:paraId="013A156D" w14:textId="2C525C5E" w:rsidR="006F4434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konieczność wymiany filtra powietrza</w:t>
            </w:r>
          </w:p>
        </w:tc>
        <w:tc>
          <w:tcPr>
            <w:tcW w:w="6185" w:type="dxa"/>
          </w:tcPr>
          <w:p w14:paraId="2C54ADBF" w14:textId="77777777" w:rsidR="006F4434" w:rsidRPr="00A50A71" w:rsidRDefault="006F4434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7EBC90AD" w14:textId="77777777" w:rsidTr="000949AE">
        <w:trPr>
          <w:trHeight w:val="567"/>
          <w:jc w:val="center"/>
        </w:trPr>
        <w:tc>
          <w:tcPr>
            <w:tcW w:w="8462" w:type="dxa"/>
          </w:tcPr>
          <w:p w14:paraId="506D0523" w14:textId="09967702" w:rsidR="000949AE" w:rsidRPr="000949AE" w:rsidRDefault="000949AE" w:rsidP="000949AE">
            <w:pPr>
              <w:rPr>
                <w:bCs/>
                <w:sz w:val="24"/>
                <w:szCs w:val="24"/>
              </w:rPr>
            </w:pPr>
            <w:r w:rsidRPr="000949AE">
              <w:rPr>
                <w:bCs/>
                <w:sz w:val="24"/>
                <w:szCs w:val="24"/>
              </w:rPr>
              <w:t>Alarmy dźwiękowe: temperatura wewnętrzna poza ustalonym zakresem min.-max., brak zasilania</w:t>
            </w:r>
          </w:p>
        </w:tc>
        <w:tc>
          <w:tcPr>
            <w:tcW w:w="6185" w:type="dxa"/>
          </w:tcPr>
          <w:p w14:paraId="016AF16D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749D632F" w14:textId="77777777" w:rsidTr="000949AE">
        <w:trPr>
          <w:trHeight w:val="567"/>
          <w:jc w:val="center"/>
        </w:trPr>
        <w:tc>
          <w:tcPr>
            <w:tcW w:w="8462" w:type="dxa"/>
          </w:tcPr>
          <w:p w14:paraId="7FBC944A" w14:textId="63B90EFE" w:rsidR="000949AE" w:rsidRPr="000949AE" w:rsidRDefault="000949AE" w:rsidP="000949AE">
            <w:pPr>
              <w:rPr>
                <w:bCs/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Możliwość podłączenia i odpowiednie miejsce w urządzeniu na rejestrator wykresów</w:t>
            </w:r>
          </w:p>
        </w:tc>
        <w:tc>
          <w:tcPr>
            <w:tcW w:w="6185" w:type="dxa"/>
          </w:tcPr>
          <w:p w14:paraId="0091CE20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72B3A970" w14:textId="77777777" w:rsidTr="000949AE">
        <w:trPr>
          <w:trHeight w:val="567"/>
          <w:jc w:val="center"/>
        </w:trPr>
        <w:tc>
          <w:tcPr>
            <w:tcW w:w="8462" w:type="dxa"/>
          </w:tcPr>
          <w:p w14:paraId="65E78340" w14:textId="54BCDD67" w:rsidR="000949AE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bCs/>
                <w:sz w:val="24"/>
                <w:szCs w:val="24"/>
              </w:rPr>
              <w:t>Umieszczone odpowiednie symbole ostrzegawcze na urządzeniu</w:t>
            </w:r>
          </w:p>
        </w:tc>
        <w:tc>
          <w:tcPr>
            <w:tcW w:w="6185" w:type="dxa"/>
          </w:tcPr>
          <w:p w14:paraId="7DA30996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78B6B0D3" w14:textId="77777777" w:rsidTr="000949AE">
        <w:trPr>
          <w:trHeight w:val="567"/>
          <w:jc w:val="center"/>
        </w:trPr>
        <w:tc>
          <w:tcPr>
            <w:tcW w:w="8462" w:type="dxa"/>
          </w:tcPr>
          <w:p w14:paraId="357AFD5D" w14:textId="0A0436C4" w:rsidR="000949AE" w:rsidRPr="000949AE" w:rsidRDefault="000949AE" w:rsidP="000949AE">
            <w:pPr>
              <w:rPr>
                <w:bCs/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Przestrzeń wewnętrzna podzielona na 5 komór (każda o wysokości min. 23 cm)</w:t>
            </w:r>
          </w:p>
        </w:tc>
        <w:tc>
          <w:tcPr>
            <w:tcW w:w="6185" w:type="dxa"/>
          </w:tcPr>
          <w:p w14:paraId="4A56A2F7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3334351E" w14:textId="77777777" w:rsidTr="000949AE">
        <w:trPr>
          <w:trHeight w:val="567"/>
          <w:jc w:val="center"/>
        </w:trPr>
        <w:tc>
          <w:tcPr>
            <w:tcW w:w="8462" w:type="dxa"/>
          </w:tcPr>
          <w:p w14:paraId="5245AA9B" w14:textId="259B71D8" w:rsidR="000949AE" w:rsidRPr="000949AE" w:rsidRDefault="000949AE" w:rsidP="000949AE">
            <w:pPr>
              <w:rPr>
                <w:bCs/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 xml:space="preserve">Napięcie sieci elektrycznej co najmniej w zakresie 220V ±10%, częstotliwość co najmniej w zakresie 50-60 </w:t>
            </w:r>
            <w:proofErr w:type="spellStart"/>
            <w:r w:rsidRPr="000949AE">
              <w:rPr>
                <w:sz w:val="24"/>
                <w:szCs w:val="24"/>
              </w:rPr>
              <w:t>Hz</w:t>
            </w:r>
            <w:proofErr w:type="spellEnd"/>
          </w:p>
        </w:tc>
        <w:tc>
          <w:tcPr>
            <w:tcW w:w="6185" w:type="dxa"/>
          </w:tcPr>
          <w:p w14:paraId="55AEEFD9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32430201" w14:textId="77777777" w:rsidTr="000949AE">
        <w:trPr>
          <w:trHeight w:val="567"/>
          <w:jc w:val="center"/>
        </w:trPr>
        <w:tc>
          <w:tcPr>
            <w:tcW w:w="8462" w:type="dxa"/>
          </w:tcPr>
          <w:p w14:paraId="2A1790F4" w14:textId="3C4D5FA5" w:rsidR="000949AE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Kompatybilność elektromagnetyczna IEC/EN 61326-1, EN55011, przepisy zawarte w części 15 Regulacji FCC (Klasa A)</w:t>
            </w:r>
          </w:p>
        </w:tc>
        <w:tc>
          <w:tcPr>
            <w:tcW w:w="6185" w:type="dxa"/>
          </w:tcPr>
          <w:p w14:paraId="6520B169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152BDC53" w14:textId="77777777" w:rsidTr="000949AE">
        <w:trPr>
          <w:trHeight w:val="567"/>
          <w:jc w:val="center"/>
        </w:trPr>
        <w:tc>
          <w:tcPr>
            <w:tcW w:w="8462" w:type="dxa"/>
          </w:tcPr>
          <w:p w14:paraId="4B77CE7F" w14:textId="3C60DB96" w:rsidR="000949AE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 xml:space="preserve">Dopuszczalna temperatura pomieszczenia podczas pracy urządzenia: </w:t>
            </w:r>
            <w:r w:rsidRPr="000949AE">
              <w:rPr>
                <w:snapToGrid w:val="0"/>
                <w:color w:val="000000"/>
                <w:sz w:val="24"/>
                <w:szCs w:val="24"/>
                <w:lang w:eastAsia="en-US"/>
              </w:rPr>
              <w:t>15-32°C</w:t>
            </w:r>
          </w:p>
        </w:tc>
        <w:tc>
          <w:tcPr>
            <w:tcW w:w="6185" w:type="dxa"/>
          </w:tcPr>
          <w:p w14:paraId="4E39A997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23FC4ECF" w14:textId="77777777" w:rsidTr="000949AE">
        <w:trPr>
          <w:trHeight w:val="567"/>
          <w:jc w:val="center"/>
        </w:trPr>
        <w:tc>
          <w:tcPr>
            <w:tcW w:w="8462" w:type="dxa"/>
          </w:tcPr>
          <w:p w14:paraId="1812352A" w14:textId="47C22EB8" w:rsidR="000949AE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bCs/>
                <w:sz w:val="24"/>
                <w:szCs w:val="24"/>
              </w:rPr>
              <w:t>Wymiary urządzenia (szerokość x wysokość x głębokość): nie więcej niż 112 x 200 x 100 cm.</w:t>
            </w:r>
          </w:p>
        </w:tc>
        <w:tc>
          <w:tcPr>
            <w:tcW w:w="6185" w:type="dxa"/>
          </w:tcPr>
          <w:p w14:paraId="0D8E37B8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2348DD66" w14:textId="77777777" w:rsidTr="000949AE">
        <w:trPr>
          <w:trHeight w:val="567"/>
          <w:jc w:val="center"/>
        </w:trPr>
        <w:tc>
          <w:tcPr>
            <w:tcW w:w="8462" w:type="dxa"/>
          </w:tcPr>
          <w:p w14:paraId="64FC2459" w14:textId="3898A10A" w:rsidR="000949AE" w:rsidRPr="000949AE" w:rsidRDefault="000949AE" w:rsidP="000949AE">
            <w:pPr>
              <w:rPr>
                <w:bCs/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Okres gwarancji co najmniej 24 miesiące, serwis gwarancyjny i pogwarancyjny w Polsce</w:t>
            </w:r>
          </w:p>
        </w:tc>
        <w:tc>
          <w:tcPr>
            <w:tcW w:w="6185" w:type="dxa"/>
          </w:tcPr>
          <w:p w14:paraId="380B4452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9AE" w:rsidRPr="00A50A71" w14:paraId="2D14BB26" w14:textId="77777777" w:rsidTr="000949AE">
        <w:trPr>
          <w:trHeight w:val="567"/>
          <w:jc w:val="center"/>
        </w:trPr>
        <w:tc>
          <w:tcPr>
            <w:tcW w:w="8462" w:type="dxa"/>
          </w:tcPr>
          <w:p w14:paraId="51C0FB6B" w14:textId="791E04FA" w:rsidR="000949AE" w:rsidRPr="000949AE" w:rsidRDefault="000949AE" w:rsidP="000949AE">
            <w:pPr>
              <w:rPr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Wykonanie okresowych przeglądów zalecanych lub wymaganych przez producenta w okresie gwarancji w cenie oferty</w:t>
            </w:r>
          </w:p>
        </w:tc>
        <w:tc>
          <w:tcPr>
            <w:tcW w:w="6185" w:type="dxa"/>
          </w:tcPr>
          <w:p w14:paraId="737A1216" w14:textId="77777777" w:rsidR="000949AE" w:rsidRPr="00A50A71" w:rsidRDefault="000949AE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6F4434" w:rsidRPr="00A50A71" w14:paraId="59C11492" w14:textId="77777777" w:rsidTr="000949AE">
        <w:trPr>
          <w:trHeight w:val="567"/>
          <w:jc w:val="center"/>
        </w:trPr>
        <w:tc>
          <w:tcPr>
            <w:tcW w:w="8462" w:type="dxa"/>
          </w:tcPr>
          <w:p w14:paraId="04856CF1" w14:textId="6953F9C4" w:rsidR="006F4434" w:rsidRPr="000949AE" w:rsidRDefault="000949AE" w:rsidP="000949AE">
            <w:pPr>
              <w:rPr>
                <w:color w:val="000000"/>
                <w:sz w:val="24"/>
                <w:szCs w:val="24"/>
              </w:rPr>
            </w:pPr>
            <w:r w:rsidRPr="000949AE">
              <w:rPr>
                <w:sz w:val="24"/>
                <w:szCs w:val="24"/>
              </w:rPr>
              <w:t>Zestaw musi posiadać certyfikat CE, normy ISO 9001, ISO 13485, ISO 14001</w:t>
            </w:r>
          </w:p>
        </w:tc>
        <w:tc>
          <w:tcPr>
            <w:tcW w:w="6185" w:type="dxa"/>
          </w:tcPr>
          <w:p w14:paraId="0DB0FC05" w14:textId="77777777" w:rsidR="006F4434" w:rsidRPr="00A50A71" w:rsidRDefault="006F4434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A95065" w14:textId="77777777"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57E1A9E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11CFF6C5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14:paraId="723A8F19" w14:textId="77777777"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B90A060" w14:textId="77777777" w:rsidR="00DE54C7" w:rsidRPr="00A50A7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6656B1B" w14:textId="77777777" w:rsidR="00C134D5" w:rsidRPr="00A50A71" w:rsidRDefault="00C134D5" w:rsidP="00F163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14:paraId="7BCA9152" w14:textId="77777777" w:rsidR="00C134D5" w:rsidRPr="00A50A7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2535DE91" w14:textId="77777777" w:rsidR="00F163B9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1EA82A2F" w14:textId="77777777" w:rsidR="006C633C" w:rsidRDefault="006C633C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346707D2" w14:textId="77777777" w:rsidR="00DE54C7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6FA3C659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</w:t>
      </w:r>
    </w:p>
    <w:p w14:paraId="78FD33F9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14:paraId="24BFCA2D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14:paraId="6CBBD76B" w14:textId="77777777" w:rsidR="006C633C" w:rsidRDefault="006C633C" w:rsidP="00C134D5">
      <w:pPr>
        <w:autoSpaceDE w:val="0"/>
        <w:autoSpaceDN w:val="0"/>
        <w:adjustRightInd w:val="0"/>
        <w:rPr>
          <w:rFonts w:ascii="Arial" w:hAnsi="Arial" w:cs="Arial"/>
        </w:rPr>
      </w:pPr>
    </w:p>
    <w:p w14:paraId="7D44111D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7517F72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30045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E7E3853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W przypadku oferty w postaci telefonicznej: dokument podpisany kwalifikowanym podpisem elektronicznym, nie wymaga podpisu odręcznego </w:t>
      </w:r>
    </w:p>
    <w:p w14:paraId="0B439927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(podpis osoby uprawnionej do reprezentowania wykonawcy).</w:t>
      </w:r>
    </w:p>
    <w:p w14:paraId="3B572E35" w14:textId="77777777" w:rsidR="006C633C" w:rsidRDefault="006C633C" w:rsidP="006C633C">
      <w:pPr>
        <w:jc w:val="both"/>
        <w:rPr>
          <w:rFonts w:ascii="Arial" w:hAnsi="Arial" w:cs="Arial"/>
          <w:sz w:val="22"/>
          <w:szCs w:val="22"/>
        </w:rPr>
      </w:pPr>
    </w:p>
    <w:sectPr w:rsidR="006C633C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76459">
    <w:abstractNumId w:val="4"/>
  </w:num>
  <w:num w:numId="2" w16cid:durableId="1886602261">
    <w:abstractNumId w:val="11"/>
  </w:num>
  <w:num w:numId="3" w16cid:durableId="465702292">
    <w:abstractNumId w:val="9"/>
  </w:num>
  <w:num w:numId="4" w16cid:durableId="779956801">
    <w:abstractNumId w:val="8"/>
  </w:num>
  <w:num w:numId="5" w16cid:durableId="1415130709">
    <w:abstractNumId w:val="5"/>
  </w:num>
  <w:num w:numId="6" w16cid:durableId="1336958236">
    <w:abstractNumId w:val="7"/>
  </w:num>
  <w:num w:numId="7" w16cid:durableId="1510482451">
    <w:abstractNumId w:val="10"/>
  </w:num>
  <w:num w:numId="8" w16cid:durableId="1759207766">
    <w:abstractNumId w:val="16"/>
  </w:num>
  <w:num w:numId="9" w16cid:durableId="914970001">
    <w:abstractNumId w:val="14"/>
  </w:num>
  <w:num w:numId="10" w16cid:durableId="1270746300">
    <w:abstractNumId w:val="2"/>
  </w:num>
  <w:num w:numId="11" w16cid:durableId="1395470428">
    <w:abstractNumId w:val="1"/>
  </w:num>
  <w:num w:numId="12" w16cid:durableId="1890024332">
    <w:abstractNumId w:val="15"/>
  </w:num>
  <w:num w:numId="13" w16cid:durableId="953903709">
    <w:abstractNumId w:val="6"/>
  </w:num>
  <w:num w:numId="14" w16cid:durableId="1202284911">
    <w:abstractNumId w:val="13"/>
  </w:num>
  <w:num w:numId="15" w16cid:durableId="12430307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758599039">
    <w:abstractNumId w:val="12"/>
  </w:num>
  <w:num w:numId="17" w16cid:durableId="788161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D1"/>
    <w:rsid w:val="000722A2"/>
    <w:rsid w:val="000949AE"/>
    <w:rsid w:val="000C5F3C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336C67"/>
    <w:rsid w:val="00367D24"/>
    <w:rsid w:val="00397100"/>
    <w:rsid w:val="00422054"/>
    <w:rsid w:val="00462B7B"/>
    <w:rsid w:val="004C6BD2"/>
    <w:rsid w:val="004F113A"/>
    <w:rsid w:val="004F77F8"/>
    <w:rsid w:val="005849C7"/>
    <w:rsid w:val="005B0E9D"/>
    <w:rsid w:val="005C05C6"/>
    <w:rsid w:val="00606278"/>
    <w:rsid w:val="00622785"/>
    <w:rsid w:val="006561BF"/>
    <w:rsid w:val="006B4A4B"/>
    <w:rsid w:val="006C633C"/>
    <w:rsid w:val="006F4434"/>
    <w:rsid w:val="00702438"/>
    <w:rsid w:val="00721B51"/>
    <w:rsid w:val="007436E4"/>
    <w:rsid w:val="0078306B"/>
    <w:rsid w:val="007A4617"/>
    <w:rsid w:val="007C71E8"/>
    <w:rsid w:val="007C732C"/>
    <w:rsid w:val="007E3D7A"/>
    <w:rsid w:val="007F5E5B"/>
    <w:rsid w:val="00820697"/>
    <w:rsid w:val="008577A8"/>
    <w:rsid w:val="00861594"/>
    <w:rsid w:val="00866341"/>
    <w:rsid w:val="00884416"/>
    <w:rsid w:val="00895959"/>
    <w:rsid w:val="008A6EE0"/>
    <w:rsid w:val="008D0EC9"/>
    <w:rsid w:val="008E2898"/>
    <w:rsid w:val="00922319"/>
    <w:rsid w:val="009C7798"/>
    <w:rsid w:val="009F0296"/>
    <w:rsid w:val="009F2094"/>
    <w:rsid w:val="00A21C21"/>
    <w:rsid w:val="00A50A71"/>
    <w:rsid w:val="00A61239"/>
    <w:rsid w:val="00A65FC8"/>
    <w:rsid w:val="00A757AE"/>
    <w:rsid w:val="00AA7BC6"/>
    <w:rsid w:val="00AB30E5"/>
    <w:rsid w:val="00B225C6"/>
    <w:rsid w:val="00BA2AF6"/>
    <w:rsid w:val="00BB081B"/>
    <w:rsid w:val="00C134D5"/>
    <w:rsid w:val="00C138D1"/>
    <w:rsid w:val="00C15767"/>
    <w:rsid w:val="00C75D3D"/>
    <w:rsid w:val="00C81183"/>
    <w:rsid w:val="00CC0643"/>
    <w:rsid w:val="00D50CB6"/>
    <w:rsid w:val="00D53D49"/>
    <w:rsid w:val="00DB75FB"/>
    <w:rsid w:val="00DE54C7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DA2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Monika UK</cp:lastModifiedBy>
  <cp:revision>2</cp:revision>
  <dcterms:created xsi:type="dcterms:W3CDTF">2022-04-05T19:29:00Z</dcterms:created>
  <dcterms:modified xsi:type="dcterms:W3CDTF">2022-04-05T19:29:00Z</dcterms:modified>
</cp:coreProperties>
</file>