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46AD4631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 w:rsidRPr="00FC0AFB">
        <w:rPr>
          <w:rFonts w:asciiTheme="minorHAnsi" w:hAnsiTheme="minorHAnsi" w:cstheme="minorHAnsi"/>
          <w:bCs/>
          <w:sz w:val="22"/>
          <w:szCs w:val="22"/>
        </w:rPr>
        <w:t>/0</w:t>
      </w:r>
      <w:r w:rsidR="00FC0AFB" w:rsidRPr="00FC0AFB">
        <w:rPr>
          <w:rFonts w:asciiTheme="minorHAnsi" w:hAnsiTheme="minorHAnsi" w:cstheme="minorHAnsi"/>
          <w:bCs/>
          <w:sz w:val="22"/>
          <w:szCs w:val="22"/>
        </w:rPr>
        <w:t>8</w:t>
      </w:r>
      <w:r w:rsidR="0041278A" w:rsidRPr="00FC0AFB">
        <w:rPr>
          <w:rFonts w:asciiTheme="minorHAnsi" w:hAnsiTheme="minorHAnsi" w:cstheme="minorHAnsi"/>
          <w:bCs/>
          <w:sz w:val="22"/>
          <w:szCs w:val="22"/>
        </w:rPr>
        <w:t>/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860B4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513AC">
        <w:rPr>
          <w:rFonts w:asciiTheme="minorHAnsi" w:hAnsiTheme="minorHAnsi" w:cstheme="minorHAnsi"/>
          <w:bCs/>
          <w:sz w:val="22"/>
          <w:szCs w:val="22"/>
        </w:rPr>
        <w:t>2</w:t>
      </w:r>
      <w:r w:rsidR="005A2A60">
        <w:rPr>
          <w:rFonts w:asciiTheme="minorHAnsi" w:hAnsiTheme="minorHAnsi" w:cstheme="minorHAnsi"/>
          <w:bCs/>
          <w:sz w:val="22"/>
          <w:szCs w:val="22"/>
        </w:rPr>
        <w:t xml:space="preserve"> sierpnia 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202</w:t>
      </w:r>
      <w:r w:rsidR="00B532A8">
        <w:rPr>
          <w:rFonts w:asciiTheme="minorHAnsi" w:hAnsiTheme="minorHAnsi" w:cstheme="minorHAnsi"/>
          <w:bCs/>
          <w:sz w:val="22"/>
          <w:szCs w:val="22"/>
        </w:rPr>
        <w:t>2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653FC4C3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D4527B">
        <w:rPr>
          <w:rFonts w:asciiTheme="minorHAnsi" w:hAnsiTheme="minorHAnsi" w:cstheme="minorHAnsi"/>
          <w:bCs/>
          <w:sz w:val="22"/>
          <w:szCs w:val="22"/>
        </w:rPr>
        <w:t>spektrometru dichroizmu kołowego do pomiarów CD w funkcji temperatury</w:t>
      </w:r>
      <w:r w:rsidR="008207E3">
        <w:rPr>
          <w:rFonts w:asciiTheme="minorHAnsi" w:hAnsiTheme="minorHAnsi" w:cstheme="minorHAnsi"/>
          <w:bCs/>
          <w:sz w:val="22"/>
          <w:szCs w:val="22"/>
        </w:rPr>
        <w:t xml:space="preserve"> wraz </w:t>
      </w:r>
      <w:r w:rsidR="005A2A60">
        <w:rPr>
          <w:rFonts w:asciiTheme="minorHAnsi" w:hAnsiTheme="minorHAnsi" w:cstheme="minorHAnsi"/>
          <w:bCs/>
          <w:sz w:val="22"/>
          <w:szCs w:val="22"/>
        </w:rPr>
        <w:br/>
      </w:r>
      <w:r w:rsidR="008207E3">
        <w:rPr>
          <w:rFonts w:asciiTheme="minorHAnsi" w:hAnsiTheme="minorHAnsi" w:cstheme="minorHAnsi"/>
          <w:bCs/>
          <w:sz w:val="22"/>
          <w:szCs w:val="22"/>
        </w:rPr>
        <w:t>z akcesoriami</w:t>
      </w:r>
      <w:r w:rsidR="00DE5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249EE906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D4527B" w:rsidRPr="00D4527B">
        <w:rPr>
          <w:rFonts w:asciiTheme="minorHAnsi" w:hAnsiTheme="minorHAnsi" w:cstheme="minorHAnsi"/>
          <w:b/>
          <w:bCs/>
          <w:sz w:val="22"/>
          <w:szCs w:val="22"/>
        </w:rPr>
        <w:t>spektrometru dichroizmu kołowego do pomiarów CD w funkcji temperatury</w:t>
      </w:r>
      <w:r w:rsidR="00860B4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93F24">
        <w:rPr>
          <w:rFonts w:asciiTheme="minorHAnsi" w:hAnsiTheme="minorHAnsi" w:cstheme="minorHAnsi"/>
          <w:b/>
          <w:bCs/>
          <w:sz w:val="22"/>
          <w:szCs w:val="22"/>
        </w:rPr>
        <w:t>wraz z akcesoriami</w:t>
      </w:r>
      <w:r w:rsidR="005A2A6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 xml:space="preserve">– 1 </w:t>
      </w:r>
      <w:r w:rsidR="00B93F24">
        <w:rPr>
          <w:rFonts w:asciiTheme="minorHAnsi" w:hAnsiTheme="minorHAnsi" w:cstheme="minorHAnsi"/>
          <w:b/>
          <w:bCs/>
          <w:sz w:val="22"/>
          <w:szCs w:val="22"/>
        </w:rPr>
        <w:t>zestaw.</w:t>
      </w:r>
    </w:p>
    <w:p w14:paraId="734D2A09" w14:textId="34C81EA5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>z wniesieniem, montażem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108EF18F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860B44">
        <w:rPr>
          <w:rFonts w:asciiTheme="minorHAnsi" w:hAnsiTheme="minorHAnsi" w:cstheme="minorHAnsi"/>
          <w:sz w:val="22"/>
          <w:szCs w:val="22"/>
        </w:rPr>
        <w:t>12</w:t>
      </w:r>
      <w:r w:rsidRPr="00EC04E1">
        <w:rPr>
          <w:rFonts w:asciiTheme="minorHAnsi" w:hAnsiTheme="minorHAnsi" w:cstheme="minorHAnsi"/>
          <w:sz w:val="22"/>
          <w:szCs w:val="22"/>
        </w:rPr>
        <w:t xml:space="preserve"> miesięcy gwarancji 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24BC95F3" w14:textId="044CE293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 niniejszego postępowania przepisów ustawy z dnia 11 września 2019 r. (Dz. U. 2021 poz. </w:t>
      </w:r>
      <w:r w:rsidRPr="0034268E">
        <w:rPr>
          <w:rFonts w:asciiTheme="minorHAnsi" w:hAnsiTheme="minorHAnsi" w:cstheme="minorHAnsi"/>
          <w:sz w:val="22"/>
          <w:szCs w:val="22"/>
        </w:rPr>
        <w:t xml:space="preserve">1129 z 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. zm.)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03D4CC38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D4527B">
        <w:rPr>
          <w:rFonts w:asciiTheme="minorHAnsi" w:hAnsiTheme="minorHAnsi" w:cstheme="minorHAnsi"/>
          <w:sz w:val="22"/>
          <w:szCs w:val="22"/>
          <w:u w:val="single"/>
        </w:rPr>
        <w:t>18</w:t>
      </w:r>
      <w:r w:rsidR="000D2FF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tygodni 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7F646AAC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6D65">
        <w:rPr>
          <w:rFonts w:asciiTheme="minorHAnsi" w:hAnsiTheme="minorHAnsi" w:cstheme="minorHAnsi"/>
          <w:sz w:val="22"/>
          <w:szCs w:val="22"/>
        </w:rPr>
        <w:t xml:space="preserve">do </w:t>
      </w:r>
      <w:r w:rsidRPr="00FC0AFB">
        <w:rPr>
          <w:rFonts w:asciiTheme="minorHAnsi" w:hAnsiTheme="minorHAnsi" w:cstheme="minorHAnsi"/>
          <w:sz w:val="22"/>
          <w:szCs w:val="22"/>
        </w:rPr>
        <w:t xml:space="preserve">dnia </w:t>
      </w:r>
      <w:r w:rsidR="00FC0AFB" w:rsidRPr="00FC0AFB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="00FC0AFB" w:rsidRPr="00FC0AFB">
        <w:rPr>
          <w:rFonts w:asciiTheme="minorHAnsi" w:hAnsiTheme="minorHAnsi" w:cstheme="minorHAnsi"/>
          <w:b/>
          <w:bCs/>
          <w:sz w:val="22"/>
          <w:szCs w:val="22"/>
          <w:u w:val="single"/>
        </w:rPr>
        <w:t>08</w:t>
      </w:r>
      <w:r w:rsidR="00BF20BA" w:rsidRPr="00FC0AFB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B532A8" w:rsidRPr="00FC0AFB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Pr="00FC0AFB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A86D6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A86D65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24563087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D4527B">
        <w:rPr>
          <w:rFonts w:asciiTheme="minorHAnsi" w:hAnsiTheme="minorHAnsi" w:cstheme="minorHAnsi"/>
          <w:bCs/>
          <w:sz w:val="22"/>
          <w:szCs w:val="22"/>
        </w:rPr>
        <w:t>400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345AD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14C425D2" w14:textId="77777777" w:rsidR="00A24D68" w:rsidRPr="006161C8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Wypełniony i podpisany</w:t>
      </w:r>
      <w:r w:rsidR="00552D1C" w:rsidRPr="006161C8">
        <w:rPr>
          <w:rFonts w:asciiTheme="minorHAnsi" w:hAnsiTheme="minorHAnsi" w:cstheme="minorHAnsi"/>
          <w:sz w:val="22"/>
          <w:szCs w:val="22"/>
        </w:rPr>
        <w:t xml:space="preserve">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552D1C" w:rsidRPr="006161C8">
        <w:rPr>
          <w:rFonts w:asciiTheme="minorHAnsi" w:hAnsiTheme="minorHAnsi" w:cstheme="minorHAnsi"/>
          <w:sz w:val="22"/>
          <w:szCs w:val="22"/>
        </w:rPr>
        <w:t>ałącznik</w:t>
      </w:r>
      <w:r w:rsidRPr="006161C8">
        <w:rPr>
          <w:rFonts w:asciiTheme="minorHAnsi" w:hAnsiTheme="minorHAnsi" w:cstheme="minorHAnsi"/>
          <w:sz w:val="22"/>
          <w:szCs w:val="22"/>
        </w:rPr>
        <w:t xml:space="preserve"> nr 2 do niniejszego Ogłoszenia –</w:t>
      </w:r>
      <w:r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582736" w:rsidRPr="00140297">
        <w:rPr>
          <w:rFonts w:asciiTheme="minorHAnsi" w:hAnsiTheme="minorHAnsi" w:cstheme="minorHAnsi"/>
          <w:b/>
          <w:sz w:val="22"/>
          <w:szCs w:val="22"/>
        </w:rPr>
        <w:t>Opis parametrów technicznych</w:t>
      </w:r>
      <w:r w:rsidRPr="006161C8">
        <w:rPr>
          <w:rFonts w:asciiTheme="minorHAnsi" w:hAnsiTheme="minorHAnsi" w:cstheme="minorHAnsi"/>
          <w:b/>
          <w:sz w:val="22"/>
          <w:szCs w:val="22"/>
        </w:rPr>
        <w:t>;</w:t>
      </w:r>
    </w:p>
    <w:p w14:paraId="43EBA3A9" w14:textId="77777777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>nr 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1C3994F0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polskich. Nie będą prowadzone rozliczenia w walutach obcych. Ceny muszą być podane i wyliczone </w:t>
      </w:r>
      <w:r w:rsidR="005A2A60">
        <w:rPr>
          <w:rFonts w:asciiTheme="minorHAnsi" w:hAnsiTheme="minorHAnsi" w:cstheme="minorHAnsi"/>
          <w:sz w:val="22"/>
          <w:szCs w:val="22"/>
        </w:rPr>
        <w:br/>
      </w:r>
      <w:r w:rsidRPr="0056752C">
        <w:rPr>
          <w:rFonts w:asciiTheme="minorHAnsi" w:hAnsiTheme="minorHAnsi" w:cstheme="minorHAnsi"/>
          <w:sz w:val="22"/>
          <w:szCs w:val="22"/>
        </w:rPr>
        <w:t>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Wykonawcę </w:t>
      </w:r>
      <w:r w:rsidR="005A2A60">
        <w:rPr>
          <w:rFonts w:asciiTheme="minorHAnsi" w:hAnsiTheme="minorHAnsi" w:cstheme="minorHAnsi"/>
          <w:sz w:val="22"/>
          <w:szCs w:val="22"/>
        </w:rPr>
        <w:br/>
      </w:r>
      <w:bookmarkStart w:id="1" w:name="_GoBack"/>
      <w:bookmarkEnd w:id="1"/>
      <w:r w:rsidRPr="0056752C">
        <w:rPr>
          <w:rFonts w:asciiTheme="minorHAnsi" w:hAnsiTheme="minorHAnsi" w:cstheme="minorHAnsi"/>
          <w:sz w:val="22"/>
          <w:szCs w:val="22"/>
        </w:rPr>
        <w:t>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DF40BB9" w14:textId="0EA6F7F0" w:rsidR="00F7124F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6826FDB" w14:textId="77777777" w:rsidR="00F7124F" w:rsidRPr="0056752C" w:rsidRDefault="00F7124F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lastRenderedPageBreak/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11BAA122" w14:textId="3B8D5682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12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ę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0 pkt</w:t>
      </w:r>
    </w:p>
    <w:p w14:paraId="3FC45E8F" w14:textId="70BB7E56" w:rsidR="009B3668" w:rsidRPr="00C3266A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miesi</w:t>
      </w:r>
      <w:r>
        <w:rPr>
          <w:rFonts w:asciiTheme="minorHAnsi" w:hAnsiTheme="minorHAnsi" w:cstheme="minorHAnsi"/>
          <w:sz w:val="22"/>
          <w:szCs w:val="22"/>
        </w:rPr>
        <w:t>ą</w:t>
      </w:r>
      <w:r w:rsidR="00486522" w:rsidRPr="00C3266A">
        <w:rPr>
          <w:rFonts w:asciiTheme="minorHAnsi" w:hAnsiTheme="minorHAnsi" w:cstheme="minorHAnsi"/>
          <w:sz w:val="22"/>
          <w:szCs w:val="22"/>
        </w:rPr>
        <w:t>c</w:t>
      </w:r>
      <w:r>
        <w:rPr>
          <w:rFonts w:asciiTheme="minorHAnsi" w:hAnsiTheme="minorHAnsi" w:cstheme="minorHAnsi"/>
          <w:sz w:val="22"/>
          <w:szCs w:val="22"/>
        </w:rPr>
        <w:t>e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10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36327A66" w:rsidR="009B3668" w:rsidRPr="006161C8" w:rsidRDefault="00D0447F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8697" w14:textId="77777777" w:rsidR="00077E99" w:rsidRDefault="00077E99" w:rsidP="008808EC">
      <w:r>
        <w:separator/>
      </w:r>
    </w:p>
  </w:endnote>
  <w:endnote w:type="continuationSeparator" w:id="0">
    <w:p w14:paraId="7713F2AD" w14:textId="77777777" w:rsidR="00077E99" w:rsidRDefault="00077E99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3E1AEF4A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5A2A60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58595" w14:textId="77777777" w:rsidR="00077E99" w:rsidRDefault="00077E99" w:rsidP="008808EC">
      <w:r>
        <w:separator/>
      </w:r>
    </w:p>
  </w:footnote>
  <w:footnote w:type="continuationSeparator" w:id="0">
    <w:p w14:paraId="4E076049" w14:textId="77777777" w:rsidR="00077E99" w:rsidRDefault="00077E99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3004C"/>
    <w:rsid w:val="00050FEA"/>
    <w:rsid w:val="00053D71"/>
    <w:rsid w:val="00055BCE"/>
    <w:rsid w:val="00057951"/>
    <w:rsid w:val="00064F85"/>
    <w:rsid w:val="00077E99"/>
    <w:rsid w:val="00086F07"/>
    <w:rsid w:val="000C5100"/>
    <w:rsid w:val="000C70D3"/>
    <w:rsid w:val="000D2FFC"/>
    <w:rsid w:val="000E07FF"/>
    <w:rsid w:val="00125FF9"/>
    <w:rsid w:val="00136046"/>
    <w:rsid w:val="00140297"/>
    <w:rsid w:val="0015070A"/>
    <w:rsid w:val="00155C32"/>
    <w:rsid w:val="00213285"/>
    <w:rsid w:val="0021656B"/>
    <w:rsid w:val="0023547D"/>
    <w:rsid w:val="00246305"/>
    <w:rsid w:val="0026382F"/>
    <w:rsid w:val="00273875"/>
    <w:rsid w:val="002758B9"/>
    <w:rsid w:val="00280331"/>
    <w:rsid w:val="002D3D07"/>
    <w:rsid w:val="002D71D5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41278A"/>
    <w:rsid w:val="00460F26"/>
    <w:rsid w:val="004724AD"/>
    <w:rsid w:val="00475635"/>
    <w:rsid w:val="00486522"/>
    <w:rsid w:val="0049030E"/>
    <w:rsid w:val="00492F6D"/>
    <w:rsid w:val="004D1376"/>
    <w:rsid w:val="004D1B50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A2A60"/>
    <w:rsid w:val="005D1BDF"/>
    <w:rsid w:val="006161C8"/>
    <w:rsid w:val="00626ABC"/>
    <w:rsid w:val="00670794"/>
    <w:rsid w:val="006712CC"/>
    <w:rsid w:val="00680F0E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C55C1"/>
    <w:rsid w:val="007D0F6B"/>
    <w:rsid w:val="008207E3"/>
    <w:rsid w:val="00822ADF"/>
    <w:rsid w:val="008252C8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513AC"/>
    <w:rsid w:val="009629A7"/>
    <w:rsid w:val="00966BA5"/>
    <w:rsid w:val="00975DE3"/>
    <w:rsid w:val="009B3668"/>
    <w:rsid w:val="009B579A"/>
    <w:rsid w:val="009B7D69"/>
    <w:rsid w:val="009E6C0F"/>
    <w:rsid w:val="00A06F49"/>
    <w:rsid w:val="00A24D68"/>
    <w:rsid w:val="00A306C0"/>
    <w:rsid w:val="00A355A0"/>
    <w:rsid w:val="00A442AF"/>
    <w:rsid w:val="00A511BE"/>
    <w:rsid w:val="00A63F82"/>
    <w:rsid w:val="00A65114"/>
    <w:rsid w:val="00A86D65"/>
    <w:rsid w:val="00AB7287"/>
    <w:rsid w:val="00AC2963"/>
    <w:rsid w:val="00AC749D"/>
    <w:rsid w:val="00B138DF"/>
    <w:rsid w:val="00B17994"/>
    <w:rsid w:val="00B22C23"/>
    <w:rsid w:val="00B31EA0"/>
    <w:rsid w:val="00B532A8"/>
    <w:rsid w:val="00B56AEE"/>
    <w:rsid w:val="00B64BB7"/>
    <w:rsid w:val="00B910BD"/>
    <w:rsid w:val="00B93F24"/>
    <w:rsid w:val="00BD32FA"/>
    <w:rsid w:val="00BD3F74"/>
    <w:rsid w:val="00BD6AB2"/>
    <w:rsid w:val="00BE7EA2"/>
    <w:rsid w:val="00BF1981"/>
    <w:rsid w:val="00BF20BA"/>
    <w:rsid w:val="00BF62ED"/>
    <w:rsid w:val="00C3266A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4527B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0AFB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F3D1A4-0A26-43F7-BA9E-66D66792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Joanna Dutkiewicz</cp:lastModifiedBy>
  <cp:revision>8</cp:revision>
  <cp:lastPrinted>2021-10-27T13:25:00Z</cp:lastPrinted>
  <dcterms:created xsi:type="dcterms:W3CDTF">2022-08-01T19:53:00Z</dcterms:created>
  <dcterms:modified xsi:type="dcterms:W3CDTF">2022-08-02T10:25:00Z</dcterms:modified>
</cp:coreProperties>
</file>